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C807D8">
        <w:rPr>
          <w:rFonts w:ascii="Arial" w:hAnsi="Arial" w:cs="Arial"/>
          <w:b/>
          <w:sz w:val="22"/>
        </w:rPr>
        <w:t>30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8F1974">
        <w:rPr>
          <w:rFonts w:ascii="Arial" w:hAnsi="Arial"/>
          <w:sz w:val="22"/>
          <w:szCs w:val="22"/>
        </w:rPr>
        <w:t>uzindo efeitos a partir de 01/0</w:t>
      </w:r>
      <w:r w:rsidR="00331C16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 xml:space="preserve">, </w:t>
      </w:r>
      <w:r w:rsidR="00331C16">
        <w:rPr>
          <w:rFonts w:ascii="Arial" w:hAnsi="Arial" w:cs="Arial"/>
          <w:sz w:val="22"/>
          <w:szCs w:val="22"/>
        </w:rPr>
        <w:t>29</w:t>
      </w:r>
      <w:r w:rsidR="00DA0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331C16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5A" w:rsidRDefault="00BE745A">
      <w:r>
        <w:separator/>
      </w:r>
    </w:p>
  </w:endnote>
  <w:endnote w:type="continuationSeparator" w:id="0">
    <w:p w:rsidR="00BE745A" w:rsidRDefault="00B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5A" w:rsidRDefault="00BE745A">
      <w:r>
        <w:separator/>
      </w:r>
    </w:p>
  </w:footnote>
  <w:footnote w:type="continuationSeparator" w:id="0">
    <w:p w:rsidR="00BE745A" w:rsidRDefault="00BE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5</cp:revision>
  <cp:lastPrinted>2014-04-24T19:11:00Z</cp:lastPrinted>
  <dcterms:created xsi:type="dcterms:W3CDTF">2014-09-09T13:21:00Z</dcterms:created>
  <dcterms:modified xsi:type="dcterms:W3CDTF">2014-09-09T13:23:00Z</dcterms:modified>
</cp:coreProperties>
</file>