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D8" w:rsidRPr="001930F1" w:rsidRDefault="00D062D8" w:rsidP="00D062D8">
      <w:pPr>
        <w:widowControl w:val="0"/>
        <w:spacing w:after="0" w:line="360" w:lineRule="auto"/>
        <w:contextualSpacing/>
        <w:jc w:val="center"/>
        <w:rPr>
          <w:rFonts w:ascii="Arial" w:hAnsi="Arial" w:cs="Arial"/>
          <w:b/>
          <w:szCs w:val="20"/>
          <w:lang w:val="pt-PT"/>
        </w:rPr>
      </w:pPr>
      <w:r w:rsidRPr="001930F1">
        <w:rPr>
          <w:rFonts w:ascii="Arial" w:hAnsi="Arial" w:cs="Arial"/>
          <w:b/>
          <w:szCs w:val="20"/>
          <w:lang w:val="pt-PT"/>
        </w:rPr>
        <w:t>CONTRATO DE CONCESSÃO DE DIREITO REAL DE USO N°. 202/2021</w:t>
      </w:r>
    </w:p>
    <w:p w:rsidR="00D062D8" w:rsidRPr="001930F1" w:rsidRDefault="00D062D8" w:rsidP="00D062D8">
      <w:pPr>
        <w:widowControl w:val="0"/>
        <w:spacing w:after="0" w:line="360" w:lineRule="auto"/>
        <w:contextualSpacing/>
        <w:jc w:val="center"/>
        <w:rPr>
          <w:rFonts w:ascii="Arial" w:hAnsi="Arial" w:cs="Arial"/>
          <w:b/>
          <w:szCs w:val="20"/>
          <w:lang w:val="pt-PT"/>
        </w:rPr>
      </w:pPr>
      <w:r w:rsidRPr="001930F1">
        <w:rPr>
          <w:rFonts w:ascii="Arial" w:hAnsi="Arial" w:cs="Arial"/>
          <w:b/>
          <w:szCs w:val="20"/>
          <w:lang w:val="pt-PT"/>
        </w:rPr>
        <w:t>CONCORRÊNCIA PÚBLICA N°. 01/2021</w:t>
      </w:r>
    </w:p>
    <w:p w:rsidR="00D062D8" w:rsidRPr="001930F1" w:rsidRDefault="00D062D8" w:rsidP="00D062D8">
      <w:pPr>
        <w:widowControl w:val="0"/>
        <w:spacing w:after="0" w:line="360" w:lineRule="auto"/>
        <w:contextualSpacing/>
        <w:jc w:val="center"/>
        <w:rPr>
          <w:rFonts w:ascii="Arial" w:hAnsi="Arial" w:cs="Arial"/>
          <w:b/>
          <w:szCs w:val="20"/>
          <w:lang w:val="pt-PT"/>
        </w:rPr>
      </w:pPr>
      <w:r w:rsidRPr="001930F1">
        <w:rPr>
          <w:rFonts w:ascii="Arial" w:hAnsi="Arial" w:cs="Arial"/>
          <w:b/>
          <w:szCs w:val="20"/>
          <w:lang w:val="pt-PT"/>
        </w:rPr>
        <w:t>PROCESSO LICITATÓRIO N°. 69/2021</w:t>
      </w:r>
    </w:p>
    <w:p w:rsidR="00D062D8" w:rsidRPr="001930F1" w:rsidRDefault="00D062D8" w:rsidP="00D062D8">
      <w:pPr>
        <w:widowControl w:val="0"/>
        <w:spacing w:after="0" w:line="360" w:lineRule="auto"/>
        <w:contextualSpacing/>
        <w:jc w:val="center"/>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CONCEDENTE:</w:t>
      </w:r>
      <w:r w:rsidRPr="001930F1">
        <w:rPr>
          <w:rFonts w:ascii="Arial" w:hAnsi="Arial" w:cs="Arial"/>
          <w:szCs w:val="20"/>
        </w:rPr>
        <w:t xml:space="preserve"> O </w:t>
      </w:r>
      <w:r w:rsidRPr="001930F1">
        <w:rPr>
          <w:rFonts w:ascii="Arial" w:hAnsi="Arial" w:cs="Arial"/>
          <w:b/>
          <w:szCs w:val="20"/>
        </w:rPr>
        <w:t>MUNICÍPIO DE NOVA ESPERANÇA DO SUDOESTE, ESTADO DO PARANÁ</w:t>
      </w:r>
      <w:r w:rsidRPr="001930F1">
        <w:rPr>
          <w:rFonts w:ascii="Arial" w:hAnsi="Arial" w:cs="Arial"/>
          <w:szCs w:val="20"/>
        </w:rPr>
        <w:t xml:space="preserve">, pessoa jurídica de direito público, inscrito no CNPJ n°. 95.589.289/0001-32, com sede na Avenida Iguaçu, Centro, n°. 750, Nova Esperança do Sudoeste, Estado do Paraná, neste ato representado pelo Prefeito Municipal, Senhor </w:t>
      </w:r>
      <w:r w:rsidRPr="001930F1">
        <w:rPr>
          <w:rFonts w:ascii="Arial" w:hAnsi="Arial" w:cs="Arial"/>
          <w:b/>
          <w:szCs w:val="20"/>
        </w:rPr>
        <w:t>JAIME DA SILVA STANGE</w:t>
      </w:r>
      <w:r w:rsidRPr="001930F1">
        <w:rPr>
          <w:rFonts w:ascii="Arial" w:hAnsi="Arial" w:cs="Arial"/>
          <w:szCs w:val="20"/>
        </w:rPr>
        <w:t xml:space="preserve">, portador da Cédula de Identidade sob n°. 1958087-3 SESP/PR, inscrito no CPF sob n°. 718.246.349-00, residente e domiciliado em Nova Esperança do Sudoeste, Paraná, abaixo assinado, doravante designado </w:t>
      </w:r>
      <w:r w:rsidRPr="001930F1">
        <w:rPr>
          <w:rFonts w:ascii="Arial" w:hAnsi="Arial" w:cs="Arial"/>
          <w:b/>
          <w:szCs w:val="20"/>
        </w:rPr>
        <w:t>CONCEDENTE</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CONCESSIONÁRIA:</w:t>
      </w:r>
      <w:r w:rsidRPr="001930F1">
        <w:rPr>
          <w:rFonts w:ascii="Arial" w:hAnsi="Arial" w:cs="Arial"/>
          <w:szCs w:val="20"/>
        </w:rPr>
        <w:t xml:space="preserve"> A empresa</w:t>
      </w:r>
      <w:r w:rsidRPr="001930F1">
        <w:rPr>
          <w:rFonts w:ascii="Arial" w:hAnsi="Arial" w:cs="Arial"/>
          <w:b/>
          <w:szCs w:val="20"/>
        </w:rPr>
        <w:t xml:space="preserve"> </w:t>
      </w:r>
      <w:r w:rsidRPr="001930F1">
        <w:rPr>
          <w:rFonts w:ascii="Arial" w:eastAsia="Times New Roman" w:hAnsi="Arial" w:cs="Arial"/>
          <w:b/>
          <w:szCs w:val="20"/>
          <w:lang w:eastAsia="pt-BR"/>
        </w:rPr>
        <w:t>CLAUDECIR ROZENG 72326697987</w:t>
      </w:r>
      <w:r w:rsidRPr="001930F1">
        <w:rPr>
          <w:rFonts w:ascii="Arial" w:hAnsi="Arial" w:cs="Arial"/>
          <w:szCs w:val="20"/>
        </w:rPr>
        <w:t>, pessoa jurídica de direito privado, inscrito no CNPJ sob n°. 36.272.738/0001-55, com sede</w:t>
      </w:r>
      <w:r w:rsidR="00660191" w:rsidRPr="001930F1">
        <w:rPr>
          <w:rFonts w:ascii="Arial" w:hAnsi="Arial" w:cs="Arial"/>
          <w:szCs w:val="20"/>
        </w:rPr>
        <w:t xml:space="preserve"> na Linha Cabeceira do Lontra, s/n, Rodovia PR 471, Nova Esperança do Sudoeste, Estado do Paraná, CEP 85.635-000</w:t>
      </w:r>
      <w:r w:rsidRPr="001930F1">
        <w:rPr>
          <w:rFonts w:ascii="Arial" w:hAnsi="Arial" w:cs="Arial"/>
          <w:szCs w:val="20"/>
        </w:rPr>
        <w:t>, neste ato represen</w:t>
      </w:r>
      <w:r w:rsidR="00660191" w:rsidRPr="001930F1">
        <w:rPr>
          <w:rFonts w:ascii="Arial" w:hAnsi="Arial" w:cs="Arial"/>
          <w:szCs w:val="20"/>
        </w:rPr>
        <w:t xml:space="preserve">tada por </w:t>
      </w:r>
      <w:r w:rsidR="00660191" w:rsidRPr="001930F1">
        <w:rPr>
          <w:rFonts w:ascii="Arial" w:hAnsi="Arial" w:cs="Arial"/>
          <w:b/>
          <w:szCs w:val="20"/>
        </w:rPr>
        <w:t>CLAUDECIR ROZENG</w:t>
      </w:r>
      <w:r w:rsidRPr="001930F1">
        <w:rPr>
          <w:rFonts w:ascii="Arial" w:hAnsi="Arial" w:cs="Arial"/>
          <w:szCs w:val="20"/>
        </w:rPr>
        <w:t>, portador da Cédula de id</w:t>
      </w:r>
      <w:r w:rsidR="00660191" w:rsidRPr="001930F1">
        <w:rPr>
          <w:rFonts w:ascii="Arial" w:hAnsi="Arial" w:cs="Arial"/>
          <w:szCs w:val="20"/>
        </w:rPr>
        <w:t>entidade n°. 55312125 SESP/PR</w:t>
      </w:r>
      <w:r w:rsidRPr="001930F1">
        <w:rPr>
          <w:rFonts w:ascii="Arial" w:hAnsi="Arial" w:cs="Arial"/>
          <w:szCs w:val="20"/>
        </w:rPr>
        <w:t>, inscrito no CPF</w:t>
      </w:r>
      <w:r w:rsidR="00660191" w:rsidRPr="001930F1">
        <w:rPr>
          <w:rFonts w:ascii="Arial" w:hAnsi="Arial" w:cs="Arial"/>
          <w:szCs w:val="20"/>
        </w:rPr>
        <w:t xml:space="preserve"> sob n°. 723.266.979-87</w:t>
      </w:r>
      <w:r w:rsidRPr="001930F1">
        <w:rPr>
          <w:rFonts w:ascii="Arial" w:hAnsi="Arial" w:cs="Arial"/>
          <w:szCs w:val="20"/>
        </w:rPr>
        <w:t xml:space="preserve">, abaixo assinado, doravante designada </w:t>
      </w:r>
      <w:r w:rsidRPr="001930F1">
        <w:rPr>
          <w:rFonts w:ascii="Arial" w:hAnsi="Arial" w:cs="Arial"/>
          <w:b/>
          <w:szCs w:val="20"/>
        </w:rPr>
        <w:t xml:space="preserve">CONCESSIONÁRIA </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CONCEDENTE</w:t>
      </w:r>
      <w:r w:rsidRPr="001930F1">
        <w:rPr>
          <w:rFonts w:ascii="Arial" w:hAnsi="Arial" w:cs="Arial"/>
          <w:szCs w:val="20"/>
          <w:lang w:val="pt-PT"/>
        </w:rPr>
        <w:t xml:space="preserve"> e </w:t>
      </w:r>
      <w:r w:rsidRPr="001930F1">
        <w:rPr>
          <w:rFonts w:ascii="Arial" w:hAnsi="Arial" w:cs="Arial"/>
          <w:b/>
          <w:szCs w:val="20"/>
          <w:lang w:val="pt-PT"/>
        </w:rPr>
        <w:t>CONCESSIONÁRIA</w:t>
      </w:r>
      <w:r w:rsidRPr="001930F1">
        <w:rPr>
          <w:rFonts w:ascii="Arial" w:hAnsi="Arial" w:cs="Arial"/>
          <w:szCs w:val="20"/>
          <w:lang w:val="pt-PT"/>
        </w:rPr>
        <w:t xml:space="preserve"> ratificam, todos os termos contidos no Edital de Licitação – concorrência nº 001/2021, bem como o disposto na Lei municipal n°. 1.052/2021, ajustam a execução do seu objeto mediante as seguintes cláusulas e condições:</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CLAUSULA PRIMEIRA – DO OBJETO E DO INÍCIO DAS ATIVIDADES</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 xml:space="preserve">O </w:t>
      </w:r>
      <w:r w:rsidRPr="001930F1">
        <w:rPr>
          <w:rFonts w:ascii="Arial" w:hAnsi="Arial" w:cs="Arial"/>
          <w:b/>
          <w:szCs w:val="20"/>
          <w:lang w:val="pt-PT"/>
        </w:rPr>
        <w:t>CONCEDENTE</w:t>
      </w:r>
      <w:r w:rsidRPr="001930F1">
        <w:rPr>
          <w:rFonts w:ascii="Arial" w:hAnsi="Arial" w:cs="Arial"/>
          <w:szCs w:val="20"/>
          <w:lang w:val="pt-PT"/>
        </w:rPr>
        <w:t xml:space="preserve"> outorga à </w:t>
      </w:r>
      <w:r w:rsidRPr="001930F1">
        <w:rPr>
          <w:rFonts w:ascii="Arial" w:hAnsi="Arial" w:cs="Arial"/>
          <w:b/>
          <w:szCs w:val="20"/>
          <w:lang w:val="pt-PT"/>
        </w:rPr>
        <w:t>CONCESSIONÁRIA</w:t>
      </w:r>
      <w:r w:rsidRPr="001930F1">
        <w:rPr>
          <w:rFonts w:ascii="Arial" w:hAnsi="Arial" w:cs="Arial"/>
          <w:szCs w:val="20"/>
          <w:lang w:val="pt-PT"/>
        </w:rPr>
        <w:t xml:space="preserve"> o direito de exploração de lanchonete localizada no ginásio municipal de esporte, Centro Esportivo Esperança, do Município de Nova Esperança do Sudoeste – PR, conforme Lei Municipal n°. 1.052/2021, para comercialização de refeições, lanches, bebidas, café, salgados e doces em geral, constante do Edital de Licitação e na Lei Municipal n°. 1.052/2021 que integram o presente instrumento, tendo em vista ter a mesma sagrado-se vencedora no certame licitatório realizado através da Concorrência nº 01/2021.</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PARÁGRAFO PRIMEIRO</w:t>
      </w:r>
      <w:r w:rsidRPr="001930F1">
        <w:rPr>
          <w:rFonts w:ascii="Arial" w:hAnsi="Arial" w:cs="Arial"/>
          <w:szCs w:val="20"/>
          <w:lang w:val="pt-PT"/>
        </w:rPr>
        <w:t xml:space="preserve"> – A exploração dos serviços ficará sujeita à legislação e fiscalização do Município, incumbindo aos que a executar a sua permanente atualização e adequação às necessidades dos usuários.</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PARÁGRAFO SEGUNDO</w:t>
      </w:r>
      <w:r w:rsidRPr="001930F1">
        <w:rPr>
          <w:rFonts w:ascii="Arial" w:hAnsi="Arial" w:cs="Arial"/>
          <w:szCs w:val="20"/>
          <w:lang w:val="pt-PT"/>
        </w:rPr>
        <w:t xml:space="preserve"> - A CONCESSIONÁRIA obriga-se a iniciar </w:t>
      </w:r>
      <w:r w:rsidRPr="001930F1">
        <w:rPr>
          <w:rFonts w:ascii="Arial" w:hAnsi="Arial" w:cs="Arial"/>
          <w:szCs w:val="20"/>
        </w:rPr>
        <w:t>as atividades no prazo máximo de 30 (trinta) dias após, a data de assinatura do contrato de concessão, sob pena de aplicação de sanções no caso de descumprimento</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CLÁUSULA SEGUNDA – DO PRAZO DE VIGÊNCIA DA CONCESSÃO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 xml:space="preserve">O Prazo de vigência do contrato de concessão será de 24 (vinte e quatro) meses, prorrogável a critério do </w:t>
      </w:r>
      <w:r w:rsidRPr="001930F1">
        <w:rPr>
          <w:rFonts w:ascii="Arial" w:hAnsi="Arial" w:cs="Arial"/>
          <w:szCs w:val="20"/>
          <w:lang w:val="pt-PT"/>
        </w:rPr>
        <w:lastRenderedPageBreak/>
        <w:t>CONCEDENTE, somente por uma vez e no máximo por igual período, respeitadas as disposições legais aplicáveis à espécie, mediante novo pagamento dos valores das propostas apresentadas na licitação, atualizado pela Unidade de Fiscal Municipal de Nova Esperança do Sudoeste - UFM, ou por outro índice que venha a substituí-la na época do pagamento.</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PARÁGRAFO ÚNICO</w:t>
      </w:r>
      <w:r w:rsidRPr="001930F1">
        <w:rPr>
          <w:rFonts w:ascii="Arial" w:hAnsi="Arial" w:cs="Arial"/>
          <w:szCs w:val="20"/>
          <w:lang w:val="pt-PT"/>
        </w:rPr>
        <w:t xml:space="preserve"> – O reajuste do valor da concessão será a cada 12 (doze) meses, contados da assinatura do presente termo de concessão, na forma prevista na cláusula quarta deste termo.</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CLÁUSULA TERCEIRA – DO VALOR DA CONCESSÃO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 xml:space="preserve">O valor total da concessão a ser pago pela </w:t>
      </w:r>
      <w:r w:rsidRPr="001930F1">
        <w:rPr>
          <w:rFonts w:ascii="Arial" w:hAnsi="Arial" w:cs="Arial"/>
          <w:b/>
          <w:szCs w:val="20"/>
          <w:lang w:val="pt-PT"/>
        </w:rPr>
        <w:t xml:space="preserve">CONCESSIONÁRIA </w:t>
      </w:r>
      <w:r w:rsidR="00326402" w:rsidRPr="001930F1">
        <w:rPr>
          <w:rFonts w:ascii="Arial" w:hAnsi="Arial" w:cs="Arial"/>
          <w:szCs w:val="20"/>
          <w:lang w:val="pt-PT"/>
        </w:rPr>
        <w:t xml:space="preserve">é de </w:t>
      </w:r>
      <w:r w:rsidR="00326402" w:rsidRPr="001930F1">
        <w:rPr>
          <w:rFonts w:ascii="Arial" w:hAnsi="Arial" w:cs="Arial"/>
          <w:b/>
          <w:szCs w:val="20"/>
          <w:lang w:val="pt-PT"/>
        </w:rPr>
        <w:t>R$ 79.800,00</w:t>
      </w:r>
      <w:r w:rsidR="00326402" w:rsidRPr="001930F1">
        <w:rPr>
          <w:rFonts w:ascii="Arial" w:hAnsi="Arial" w:cs="Arial"/>
          <w:szCs w:val="20"/>
          <w:lang w:val="pt-PT"/>
        </w:rPr>
        <w:t xml:space="preserve"> </w:t>
      </w:r>
      <w:r w:rsidRPr="001930F1">
        <w:rPr>
          <w:rFonts w:ascii="Arial" w:hAnsi="Arial" w:cs="Arial"/>
          <w:szCs w:val="20"/>
          <w:lang w:val="pt-PT"/>
        </w:rPr>
        <w:t>(</w:t>
      </w:r>
      <w:r w:rsidR="00326402" w:rsidRPr="001930F1">
        <w:rPr>
          <w:rFonts w:ascii="Arial" w:hAnsi="Arial" w:cs="Arial"/>
          <w:szCs w:val="20"/>
          <w:lang w:val="pt-PT"/>
        </w:rPr>
        <w:t>setenta e nove mil, oitocentos reais</w:t>
      </w:r>
      <w:r w:rsidRPr="001930F1">
        <w:rPr>
          <w:rFonts w:ascii="Arial" w:hAnsi="Arial" w:cs="Arial"/>
          <w:szCs w:val="20"/>
          <w:lang w:val="pt-PT"/>
        </w:rPr>
        <w:t>)</w:t>
      </w:r>
      <w:r w:rsidR="00E4619D" w:rsidRPr="001930F1">
        <w:rPr>
          <w:rFonts w:ascii="Arial" w:hAnsi="Arial" w:cs="Arial"/>
          <w:szCs w:val="20"/>
          <w:lang w:val="pt-PT"/>
        </w:rPr>
        <w:t xml:space="preserve"> para um período de 12 (doze) meses</w:t>
      </w:r>
      <w:r w:rsidR="00437FC3" w:rsidRPr="001930F1">
        <w:rPr>
          <w:rFonts w:ascii="Arial" w:hAnsi="Arial" w:cs="Arial"/>
          <w:szCs w:val="20"/>
          <w:lang w:val="pt-PT"/>
        </w:rPr>
        <w:t>, correspondendo a 581,50 UFM anual</w:t>
      </w:r>
      <w:r w:rsidRPr="001930F1">
        <w:rPr>
          <w:rFonts w:ascii="Arial" w:hAnsi="Arial" w:cs="Arial"/>
          <w:szCs w:val="20"/>
          <w:lang w:val="pt-PT"/>
        </w:rPr>
        <w:t>, o qual será pago mensalmente a título de aluguel, o val</w:t>
      </w:r>
      <w:r w:rsidR="00326402" w:rsidRPr="001930F1">
        <w:rPr>
          <w:rFonts w:ascii="Arial" w:hAnsi="Arial" w:cs="Arial"/>
          <w:szCs w:val="20"/>
          <w:lang w:val="pt-PT"/>
        </w:rPr>
        <w:t xml:space="preserve">or de </w:t>
      </w:r>
      <w:r w:rsidR="00326402" w:rsidRPr="001930F1">
        <w:rPr>
          <w:rFonts w:ascii="Arial" w:hAnsi="Arial" w:cs="Arial"/>
          <w:b/>
          <w:szCs w:val="20"/>
          <w:lang w:val="pt-PT"/>
        </w:rPr>
        <w:t>R$ 6.650,00</w:t>
      </w:r>
      <w:r w:rsidR="00326402" w:rsidRPr="001930F1">
        <w:rPr>
          <w:rFonts w:ascii="Arial" w:hAnsi="Arial" w:cs="Arial"/>
          <w:szCs w:val="20"/>
          <w:lang w:val="pt-PT"/>
        </w:rPr>
        <w:t xml:space="preserve"> </w:t>
      </w:r>
      <w:r w:rsidR="00E4619D" w:rsidRPr="001930F1">
        <w:rPr>
          <w:rFonts w:ascii="Arial" w:hAnsi="Arial" w:cs="Arial"/>
          <w:szCs w:val="20"/>
          <w:lang w:val="pt-PT"/>
        </w:rPr>
        <w:t>(seis mil, seiscentos e cinquenta reais</w:t>
      </w:r>
      <w:r w:rsidRPr="001930F1">
        <w:rPr>
          <w:rFonts w:ascii="Arial" w:hAnsi="Arial" w:cs="Arial"/>
          <w:szCs w:val="20"/>
          <w:lang w:val="pt-PT"/>
        </w:rPr>
        <w:t>)</w:t>
      </w:r>
      <w:r w:rsidR="00437FC3" w:rsidRPr="001930F1">
        <w:rPr>
          <w:rFonts w:ascii="Arial" w:hAnsi="Arial" w:cs="Arial"/>
          <w:szCs w:val="20"/>
          <w:lang w:val="pt-PT"/>
        </w:rPr>
        <w:t>, referente a 48,45 UFM mensal</w:t>
      </w:r>
      <w:r w:rsidRPr="001930F1">
        <w:rPr>
          <w:rFonts w:ascii="Arial" w:hAnsi="Arial" w:cs="Arial"/>
          <w:szCs w:val="20"/>
          <w:lang w:val="pt-PT"/>
        </w:rPr>
        <w:t>.</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CLÁUSULA QUARTA – DA FORMA DE PAGAMENTO E DO REAJUSTE DO VALOR DA CONCESSÃO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O pagamento será efetuado em 12 (doze) parcelas, dividindo-se o preço total proposto pela CONCESSIONÁRIA em parcelas mensais, iguais e fixas, através de guias/boletos o qual deve o responsável comparecer até o quinto dia útil do mês subsequente para retirar a guia de pagamento junto ao Setor de Tributação do Município, cujo vencimento será até o décimo dia útil do mês.</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PARÁGRAFO PRIMEIRO</w:t>
      </w:r>
      <w:r w:rsidRPr="001930F1">
        <w:rPr>
          <w:rFonts w:ascii="Arial" w:hAnsi="Arial" w:cs="Arial"/>
          <w:szCs w:val="20"/>
          <w:lang w:val="pt-PT"/>
        </w:rPr>
        <w:t xml:space="preserve"> – O valor da concessão será reajustado a cada doze meses, contados da data da assinatura do contrato, com base no valor Unidade Fiscal Municipal de Nova Esperança do Sudoeste - (UFM), ou por outro índice que venha a substituí-la na época e o pagamento deverá ser realizado em 12 (doze) parcelas, dividindo-se o preço total em parcelas mensais, iguais e fixas através de guias/boletos.</w:t>
      </w:r>
    </w:p>
    <w:p w:rsidR="00D062D8" w:rsidRPr="001930F1" w:rsidRDefault="00D062D8" w:rsidP="00D062D8">
      <w:pPr>
        <w:widowControl w:val="0"/>
        <w:spacing w:after="0" w:line="360" w:lineRule="auto"/>
        <w:contextualSpacing/>
        <w:jc w:val="both"/>
        <w:rPr>
          <w:rFonts w:ascii="Arial" w:hAnsi="Arial" w:cs="Arial"/>
          <w:b/>
          <w:szCs w:val="20"/>
          <w:lang w:val="pt-PT"/>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PARÁGRAFO SEGUNDO</w:t>
      </w:r>
      <w:r w:rsidRPr="001930F1">
        <w:rPr>
          <w:rFonts w:ascii="Arial" w:hAnsi="Arial" w:cs="Arial"/>
          <w:szCs w:val="20"/>
          <w:lang w:val="pt-PT"/>
        </w:rPr>
        <w:t xml:space="preserve"> – Em caso de atraso no pagamento das parcelas, a concessionária estará sujeita aos acréscimos a seguir relacionados sobre a parcela vencida, sem prejuízo das demais penalidades aplicáveis:</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a)</w:t>
      </w:r>
      <w:r w:rsidRPr="001930F1">
        <w:rPr>
          <w:rFonts w:ascii="Arial" w:hAnsi="Arial" w:cs="Arial"/>
          <w:szCs w:val="20"/>
          <w:lang w:val="pt-PT"/>
        </w:rPr>
        <w:tab/>
        <w:t>Multa de 0,1% (zero vírgula um por cento) ao dia, até atingir 10% (dez por cento).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b)</w:t>
      </w:r>
      <w:r w:rsidRPr="001930F1">
        <w:rPr>
          <w:rFonts w:ascii="Arial" w:hAnsi="Arial" w:cs="Arial"/>
          <w:szCs w:val="20"/>
          <w:lang w:val="pt-PT"/>
        </w:rPr>
        <w:tab/>
        <w:t>Juros de 1% (um por cento) ao mês.</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c)</w:t>
      </w:r>
      <w:r w:rsidRPr="001930F1">
        <w:rPr>
          <w:rFonts w:ascii="Arial" w:hAnsi="Arial" w:cs="Arial"/>
          <w:szCs w:val="20"/>
          <w:lang w:val="pt-PT"/>
        </w:rPr>
        <w:tab/>
        <w:t>Correção monetária de acordo com a variação da UFM (Unidade de Fiscaldo Município de Nova Esperança do Sudoeste).</w:t>
      </w:r>
    </w:p>
    <w:p w:rsidR="00D062D8" w:rsidRPr="001930F1" w:rsidRDefault="00D062D8"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CLÁUSULA QUINTA - DA RECEITA ORÇAMENTÁRIA</w:t>
      </w:r>
    </w:p>
    <w:p w:rsidR="00D062D8"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 conta em que será contabilizada a receita orçamentária, será determinada pelo Departamento de Contabilidade e Tesouraria no ato da emissão da Guia de pagamento, em banco conveniado com esse Município.</w:t>
      </w:r>
    </w:p>
    <w:p w:rsidR="001930F1" w:rsidRDefault="001930F1" w:rsidP="00D062D8">
      <w:pPr>
        <w:widowControl w:val="0"/>
        <w:spacing w:after="0" w:line="360" w:lineRule="auto"/>
        <w:contextualSpacing/>
        <w:jc w:val="both"/>
        <w:rPr>
          <w:rFonts w:ascii="Arial" w:hAnsi="Arial" w:cs="Arial"/>
          <w:szCs w:val="20"/>
        </w:rPr>
      </w:pPr>
    </w:p>
    <w:p w:rsidR="001930F1" w:rsidRPr="001930F1" w:rsidRDefault="001930F1" w:rsidP="00D062D8">
      <w:pPr>
        <w:widowControl w:val="0"/>
        <w:spacing w:after="0" w:line="360" w:lineRule="auto"/>
        <w:contextualSpacing/>
        <w:jc w:val="both"/>
        <w:rPr>
          <w:rFonts w:ascii="Arial" w:hAnsi="Arial" w:cs="Arial"/>
          <w:szCs w:val="20"/>
          <w:lang w:val="pt-PT"/>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lastRenderedPageBreak/>
        <w:t>CLÁUSUL</w:t>
      </w:r>
      <w:bookmarkStart w:id="0" w:name="_GoBack"/>
      <w:bookmarkEnd w:id="0"/>
      <w:r w:rsidRPr="001930F1">
        <w:rPr>
          <w:rFonts w:ascii="Arial" w:hAnsi="Arial" w:cs="Arial"/>
          <w:b/>
          <w:szCs w:val="20"/>
          <w:lang w:val="pt-PT"/>
        </w:rPr>
        <w:t>A</w:t>
      </w:r>
      <w:r w:rsidRPr="001930F1">
        <w:rPr>
          <w:rFonts w:ascii="Arial" w:hAnsi="Arial" w:cs="Arial"/>
          <w:b/>
          <w:szCs w:val="20"/>
          <w:lang w:val="pt-PT"/>
        </w:rPr>
        <w:tab/>
        <w:t>SEXTA- DOS ENCARGOS E DAS OBRIGAÇÕES RELATIVOS À CONCESSÃO</w:t>
      </w: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PARAGRAFO PRIMEIRO: São encargos DA CONCESSIONÁRIA</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 Manter as dependências do objeto concedido em perfeita ordem e segurança e atender as condições exigidas pela saúde pública e demais disposições previstas na legislação vigente.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b) Manter a limpeza e higiene na parte interna e externa do estabelecimento, inclusive compreendendo serviços de: limpeza do parque infantil, banheiros do parque, academia ao ar livre, estacionamento, corte de grama, recolhimento de lixo, limpeza de calçadas nos terrenos em que se localizam o objeto concedido.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c) Fica a cargo da concessionária a aquisição dos materiais necessários para a perfeita higienização e limpeza das dependências do ginásio municipal, bem como a disponibilização de papel higiênico nos banheiros.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d) Realizar serviços de pequenos reparos nas instalações hidráulicas, elétricas e sanitárias dos objetos concedidos.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e) Desonerar o Município de quaisquer ônus relativos ao funcionamento das atividades desenvolvidas pela concessionária.</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f) Atender cortês e gentilmente a todos os munícipes que queiram usufruir das dependências do ginásio municipal, conforme regras e horários pré-estabelecidos.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g) Orientar os cidadãos que frequentam as dependências do ginásio municipal sobre a proibição do uso de cigarros, cigarrilhas, charutos, cachimbos ou qualquer outro produto fumígeno, derivado ou não do tabaco e narguilé, em recinto coletivo fechado, privado ou público, de acordo com a Lei Federal nº 9.294 de 15 de Junho de 1996, alterada pela Lei Federal nº 12.456 de 14 de Dezembro de 2011, que passou a vigorar em 03 de dezembro de 2014.</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h) Cumprir as normas e regulamentações do Poder Executivo Municipal e da Secretaria Municipal de Esporte, inclusive no que tange os horários e condições de funcionamento.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 Não vender, em hipótese alguma, bebidas alcoólicas a menores de 18 (dezoito) anos ou a pessoas alcoólatras dependentes.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j) Manter sempre a quadra esportiva e a cancha de bocha limpos e em perfeitas condições para a prática esportiva, bem como o controle dos horários de uso dos mesmos.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k) Não permitir a prática de atividades esportivas fora dos limites da quadra de esportes no ginásio.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l) A concessionária terá o direito a receber o valor de todos os horários locados das equipes, da quadra esportiva e da cancha de bocha, em troca dos serviços de limpeza e manutenção. Fica vedado a cobrança de qualquer valor nas áreas externas do centro esportivo (parque infantil, academia e estacionamento).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m) Fixar em local de fácil visualização o valor a ser cobrado por horário avulso e mensal, não podendo exceder os seguintes limites respectivamente: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m.1) quadra esportiva ginásio municipal: 0,4 UFM por hora e 1,5 UFM mensal;</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m.2) cancha de bocha do ginásio municipal: 0,2 UFM por duas horas e 0,8 UFM mensal;</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n) O valor a ser cobrado pelos tempos locados poderá ser alterado somente por determinação do Poder Executivo e da Secretaria Municipal de Esporte, através de ato administrativo oficial.</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o) Fica sob a responsabilidade da concessionária a abertura e o fechamento do ginásio de esportes nos horários contratados por munícipes e nos horários das aulas de escolinhas municipais de esportes, </w:t>
      </w:r>
      <w:r w:rsidRPr="001930F1">
        <w:rPr>
          <w:rFonts w:ascii="Arial" w:hAnsi="Arial" w:cs="Arial"/>
          <w:szCs w:val="20"/>
        </w:rPr>
        <w:lastRenderedPageBreak/>
        <w:t>competições municipais oficiais e demais eventos promovidos pela Secretaria Municipal de Esporte.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p) Fica a concessionária proibida de realizar qualquer tipo de evento de cunho particular na quadra esportiva e na cancha de bocha (campeonatos, bailes, festas, etc.) por iniciativa própria ou por terceiros.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q) Qualquer obra, mudança e/ou adaptação no local da concessão somente poderá ser realizada pela concessionária após o prévio consentimento do Município, através de manifestação por escrito da Divisão de Projetos e Engenharia e da Secretaria Municipal de Esporte, e deverá preservar as características originais do prédio, sob pena de revogação da concessão.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r) Ao final do prazo de concessão, as benfeitorias realizadas pela concessionária automaticamente incorporarão ao patrimônio do Município, sem que a concessionária tenha direito a qualquer indenização e/ou compensação financeira, independente da natureza das benfeitorias.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s) A concessionária deverá adimplir pontualmente as tarifas de consumo de água e coleta de lixo e de energia elétrica, relativas ao objeto da concessão, bem como cumprir todas as determinações legais que lhe sejam pertinentes, de sobremaneira as de natureza fiscal, tributária, administrativa, civil e ambiental.</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t) A concessionária será responsável pela obtenção das licenças necessárias para o funcionamento da lanchonete existente no ginásio de esporte objeto da concessão.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u) Enquanto durar a concessão de uso, a concessionária defenderá o imóvel contra esbulhos, invasões e outros usos desautorizados pelo concedente, sob pena de indenização dos danos.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v) Consertar ou reparar as dependências do objeto de concessão caso haja necessidade ou em virtude do desgaste natural do tempo.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w) A concessionária deverá ceder à municipalidade, sem qualquer ônus, as dependências do ginásio de esportes para a realização de eventos e atividades de escolinhas de iniciação esportiva e treinamentos das equipes do município, que visam às competições municipais e regionais de alto rendimento esportivo, espaço da cancha de bocha, assim como para as atividades municipais da Secretaria Municipal de Esporte.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x) A Concessionária deverá, no término do contrato, entregar o imóvel em perfeitas condições, independentemente de qualquer notificação à respeito.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y) Extinta a concessão, haverá a imediata assunção do serviço pelo poder concedente, procedendo-se aos levantamentos, avaliações e liquidações necessárias.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z) A assunção do serviço autoriza a ocupação das instalações e a utilização, pelo Município de Nova Esperança do Sudoeste/PR, de todos os bens reversíveis.</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rPr>
          <w:rFonts w:ascii="Arial" w:hAnsi="Arial" w:cs="Arial"/>
          <w:b/>
          <w:szCs w:val="20"/>
        </w:rPr>
      </w:pPr>
      <w:r w:rsidRPr="001930F1">
        <w:rPr>
          <w:rFonts w:ascii="Arial" w:hAnsi="Arial" w:cs="Arial"/>
          <w:b/>
          <w:szCs w:val="20"/>
        </w:rPr>
        <w:t xml:space="preserve">PARAGRAFO SEGUNDO: São encargos do CONCEDENTE: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 Notificar a concessionária quando for relatado o mau uso dos próprios do município ou descumprimento das condições previstas no presente termo e no contrato a ser firmado entre as partes, cabendo, se comprovado o descumprimento das condições previstas, a imediata rescisão contratual.</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b) Responsabilizar-se pela manutenção/substituição das redes (laterais, de fundo e traves), lâmpadas e refletores, manutenção dos extintores de incêndio, bem como placares eletrônicos.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c) Aplicar as sanções administrativas, quando se fizerem necessárias.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d) Ser responsável pela solicitação das vistorias das dependências dos ginásios de esportes junto aos órgãos competentes (Corpo de Bombeiros, Polícia Militar, Vigilância Sanitária e outros) para a realização de </w:t>
      </w:r>
      <w:r w:rsidRPr="001930F1">
        <w:rPr>
          <w:rFonts w:ascii="Arial" w:hAnsi="Arial" w:cs="Arial"/>
          <w:szCs w:val="20"/>
        </w:rPr>
        <w:lastRenderedPageBreak/>
        <w:t>eventos promovidos pela Municipalidade, com exceção das licenças exigidas para funcionamento das lanchonetes.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e) Notificar a concessionária com no mínimo 72 horas de antecedência, quando requerer o imóvel para promoção de eventos.</w:t>
      </w:r>
    </w:p>
    <w:p w:rsidR="00D062D8" w:rsidRPr="001930F1" w:rsidRDefault="00D062D8" w:rsidP="00D062D8">
      <w:pPr>
        <w:widowControl w:val="0"/>
        <w:spacing w:after="0" w:line="360" w:lineRule="auto"/>
        <w:contextualSpacing/>
        <w:jc w:val="both"/>
        <w:rPr>
          <w:rFonts w:ascii="Arial" w:hAnsi="Arial" w:cs="Arial"/>
          <w:iCs/>
          <w:szCs w:val="20"/>
        </w:rPr>
      </w:pPr>
      <w:r w:rsidRPr="001930F1">
        <w:rPr>
          <w:rFonts w:ascii="Arial" w:hAnsi="Arial" w:cs="Arial"/>
          <w:szCs w:val="20"/>
        </w:rPr>
        <w:t xml:space="preserve">f) </w:t>
      </w:r>
      <w:r w:rsidRPr="001930F1">
        <w:rPr>
          <w:rFonts w:ascii="Arial" w:hAnsi="Arial" w:cs="Arial"/>
          <w:iCs/>
          <w:szCs w:val="20"/>
        </w:rPr>
        <w:t>Fiscalizar o cumprimento do contrato, por intermédio de seus órgãos especializados e do Departamento Municipal de Esportes.</w:t>
      </w:r>
    </w:p>
    <w:p w:rsidR="00D062D8" w:rsidRPr="001930F1" w:rsidRDefault="00D062D8" w:rsidP="00D062D8">
      <w:pPr>
        <w:widowControl w:val="0"/>
        <w:spacing w:after="0" w:line="360" w:lineRule="auto"/>
        <w:contextualSpacing/>
        <w:jc w:val="both"/>
        <w:rPr>
          <w:rFonts w:ascii="Arial" w:hAnsi="Arial" w:cs="Arial"/>
          <w:iCs/>
          <w:szCs w:val="20"/>
        </w:rPr>
      </w:pPr>
    </w:p>
    <w:p w:rsidR="00D062D8" w:rsidRPr="001930F1" w:rsidRDefault="00D062D8" w:rsidP="00D062D8">
      <w:pPr>
        <w:widowControl w:val="0"/>
        <w:spacing w:after="0" w:line="360" w:lineRule="auto"/>
        <w:contextualSpacing/>
        <w:jc w:val="both"/>
        <w:rPr>
          <w:rFonts w:ascii="Arial" w:hAnsi="Arial" w:cs="Arial"/>
          <w:b/>
          <w:szCs w:val="20"/>
          <w:lang w:val="pt-PT"/>
        </w:rPr>
      </w:pPr>
      <w:r w:rsidRPr="001930F1">
        <w:rPr>
          <w:rFonts w:ascii="Arial" w:hAnsi="Arial" w:cs="Arial"/>
          <w:b/>
          <w:szCs w:val="20"/>
          <w:lang w:val="pt-PT"/>
        </w:rPr>
        <w:t>CLÁUSULA SÉTIMA – DA SUBCONTRATAÇÃO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A concessionária não poderá ceder a terceiros, bem como não poderá transferir a cessão do espaço ou das atividades objeto da exploração a terceiros, ainda que parcialmente, conforme disposto no artigo 10º da Lei Municipal n°. 1.052/2021.</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t>CLÁUSULA OITAVA - DA INTERVENÇÃO E DA EXTINÇÃO DA CONCESSÃO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lang w:val="pt-PT"/>
        </w:rPr>
        <w:t>O Município poderá, a qualquer tempo, intervir na concessão com o fim de assegurar a adequação da prestação do serviço, bem como o fiel cumprimento das normas contratuais, regulamentares e legais pertinentes, podendo rescindir o contrato, independente da interpelação judicial ou extrajudicial e de qualquer indenização, nas seguintes hipoteses: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 - O não pagamento da mensalidade por período igual ou superior à 02 (dois) meses, consecutivos ou não;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 - Na execução dos serviços: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 atraso injustificado no início da prestação dos serviços;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b) subcontratação total ou parcial do objeto, sem autorização do Município;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c) não cumprimento ou o cumprimento irregular das cláusulas contratuais;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d) razões de interesse público;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e) execução insatisfatória dos serviços. Configura-se execução insatisfatória na preparação e fornecimento de lanches: existência de corpos estranhos nos alimentos servidos, que evidenciem desleixo no manuseio e preparo dos lanches; fornecimento, aos usuários, de utensílios sem a devida e correta higienização; deficiência total ou parcial de limpeza ou desinfecção das instalações da cantina; nos casos de intoxicação alimentar aos usuários da cantina, quando comprovada por exames bacteriológicos dos alimentos consumidos;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f) execução insatisfatória dos serviços mínimos contratados. Configura-se execução insatisfatória a falta de cumprimento das exigências mínimas firmadas no procedimento licitatório;</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rPr>
        <w:t xml:space="preserve">PARÁGRAFO PRIMEIRO – </w:t>
      </w:r>
      <w:r w:rsidRPr="001930F1">
        <w:rPr>
          <w:rFonts w:ascii="Arial" w:hAnsi="Arial" w:cs="Arial"/>
          <w:szCs w:val="20"/>
          <w:lang w:val="pt-PT"/>
        </w:rPr>
        <w:t xml:space="preserve">Extinta a concessão, </w:t>
      </w:r>
      <w:r w:rsidRPr="001930F1">
        <w:rPr>
          <w:rFonts w:ascii="Arial" w:hAnsi="Arial" w:cs="Arial"/>
          <w:iCs/>
          <w:szCs w:val="20"/>
        </w:rPr>
        <w:t>seja por decurso do tempo, rescisão administrativa ou judicial, caducidade, cassação ou por qualquer outro motivo</w:t>
      </w:r>
      <w:r w:rsidRPr="001930F1">
        <w:rPr>
          <w:rFonts w:ascii="Arial" w:hAnsi="Arial" w:cs="Arial"/>
          <w:szCs w:val="20"/>
          <w:lang w:val="pt-PT"/>
        </w:rPr>
        <w:t xml:space="preserve"> previstos em lei ou neste edital, retornam ao Município todos os bens reversíveis, direitos e privilégios transferidos à concessionária através de contrato. Toda e qualquer benfeitoria realizada pela concessionária passa a integrar e incorporar o patrimônio do Município</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rPr>
        <w:t xml:space="preserve">PARÁGRAFO SEGUNDO – </w:t>
      </w:r>
      <w:r w:rsidRPr="001930F1">
        <w:rPr>
          <w:rFonts w:ascii="Arial" w:hAnsi="Arial" w:cs="Arial"/>
          <w:szCs w:val="20"/>
          <w:lang w:val="pt-PT"/>
        </w:rPr>
        <w:t xml:space="preserve">A concessão de direito real de uso será revogada e o bem será reintegrado à </w:t>
      </w:r>
      <w:r w:rsidRPr="001930F1">
        <w:rPr>
          <w:rFonts w:ascii="Arial" w:hAnsi="Arial" w:cs="Arial"/>
          <w:szCs w:val="20"/>
          <w:lang w:val="pt-PT"/>
        </w:rPr>
        <w:lastRenderedPageBreak/>
        <w:t>posse do Município, com os acréscimos constantes do bem, sem qualquer direito à retenção ou indenização, na hipótese de a concessionária deixar de exercer as atividades para as quais se propõe, em caso de inadimplemento total ou parcial das suas obrigações legais ou contratuais, e nas demais hipóteses previstas neste edital ou na legislação pertinente, ressalvados os casos fortuitos ou de força maior.</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rPr>
        <w:t xml:space="preserve">PARÁGRAFO TERCEIRO – </w:t>
      </w:r>
      <w:r w:rsidRPr="001930F1">
        <w:rPr>
          <w:rFonts w:ascii="Arial" w:hAnsi="Arial" w:cs="Arial"/>
          <w:szCs w:val="20"/>
          <w:lang w:val="pt-PT"/>
        </w:rPr>
        <w:t>A rescisão e consequente reintegração de posse do imóvel ao Município nas hipóteses previstas neste edital e na legislação pertinente ocorrerão mediante simples notificação extrajudicial, sendo que nos casos em que o Município tenha que se valer de medida judicial, para promover a rescisão da concessão e/ou retomada do bem, fica a concessionária obrigada ao ressarcimento de custas e despesas processuais, bem como os honorários advocatícios respectivos, sem prejuízo do ressarcimento dos demais danos verificados.</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autoSpaceDE w:val="0"/>
        <w:autoSpaceDN w:val="0"/>
        <w:adjustRightInd w:val="0"/>
        <w:spacing w:after="0" w:line="360" w:lineRule="auto"/>
        <w:contextualSpacing/>
        <w:jc w:val="both"/>
        <w:rPr>
          <w:rFonts w:ascii="Arial" w:hAnsi="Arial" w:cs="Arial"/>
          <w:iCs/>
          <w:szCs w:val="20"/>
        </w:rPr>
      </w:pPr>
      <w:r w:rsidRPr="001930F1">
        <w:rPr>
          <w:rFonts w:ascii="Arial" w:hAnsi="Arial" w:cs="Arial"/>
          <w:b/>
          <w:szCs w:val="20"/>
        </w:rPr>
        <w:t xml:space="preserve">PARÁGRAFO QUARTO – </w:t>
      </w:r>
      <w:r w:rsidRPr="001930F1">
        <w:rPr>
          <w:rFonts w:ascii="Arial" w:hAnsi="Arial" w:cs="Arial"/>
          <w:iCs/>
          <w:szCs w:val="20"/>
        </w:rPr>
        <w:t>Findo o prazo contratual ou da prorrogação, fica extinta a concessão e será obrigatoriamente devolvido o imóvel, sem que caiba ao município, ressarcir à concessionária, qualquer despesa ocorrida e realizada com ou sem conhecimento prévio da administração municipal.</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t>CLÁUSULA NONA - DAS DISPOSIÇÕES GERAIS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Ao presente contrato de concessão aplicam-se as seguintes disposições gerais: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 - A disposição dos equipamentos, mobiliário e/ou maquinários a serem utilizados na instalação do empreendimento deverá constar de projeto de instalação a ser aprovado pelo Departamento Municipal de Esporte e Equipe de Engenharia do Município, que deverá ser formulado com base no projeto básico.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 – Eventuais alterações ou ampliações de equipamentos e mobiliário ou do espaço destinado à exploração dos serviços de que trata este edital serão permitidos mediante anuência prévia e expressa do Poder Executivo Municipal e parecer favorável do Departamento Municipal de Esporte, após apresentação por parte da Concessionária de respectivo projeto de ampliação/modificação e desde que obedeça a legislação relativa à execução de obras em espaços</w:t>
      </w:r>
      <w:r w:rsidRPr="001930F1">
        <w:rPr>
          <w:rFonts w:ascii="Arial" w:hAnsi="Arial" w:cs="Arial"/>
          <w:spacing w:val="-2"/>
          <w:szCs w:val="20"/>
        </w:rPr>
        <w:t xml:space="preserve"> </w:t>
      </w:r>
      <w:r w:rsidRPr="001930F1">
        <w:rPr>
          <w:rFonts w:ascii="Arial" w:hAnsi="Arial" w:cs="Arial"/>
          <w:szCs w:val="20"/>
        </w:rPr>
        <w:t>públicos.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III - A CONCESSIONÁRIA obriga-se a manter, durante toda a execução do contrato de concessão, em compatibilidade com as obrigações assumidas, todas as condições de habilitação e qualificação para execução exigidas na licitação.</w:t>
      </w: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szCs w:val="20"/>
        </w:rPr>
        <w:t xml:space="preserve">IV - </w:t>
      </w:r>
      <w:r w:rsidRPr="001930F1">
        <w:rPr>
          <w:rFonts w:ascii="Arial" w:hAnsi="Arial" w:cs="Arial"/>
          <w:szCs w:val="20"/>
          <w:lang w:val="pt-PT"/>
        </w:rPr>
        <w:t>A concessionária responderá civil e criminalmente pelos atos de seus empregados e prepostos perante o Município, consumidores e terceiros, decorrentes da execução do contrato de concessão, bem como pelos tributos, encargos sociais e trabalhistas de seus funcionários e por quaisquer atos e prejuízos causados por seus funcionários e pelo uso do local da concessão, pela execução de obras e dos seus equipamentos, mesmo que não relacionados com a atividade objeto da concessão, e seus ônus não alcançam o Município, em nenhuma hipótese.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V – A CONCESSIONÁRIA obriga-se a dar livre acesso às dependências ligadas à concessão, aos agentes fiscalizadores e funcionários autorizados pelo Município.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VI - A presente Concessão reger-se-á pela Lei Municipal nº 1.052/2021, pela Lei Federal nº 8.666/93 e demais normas pertinentes.</w:t>
      </w: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lastRenderedPageBreak/>
        <w:t>CLÁUSULA DÉCIMA – DAS PENALIDADES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O licitante vencedor estará sujeito às penalidades previstas nos artigos 86 e 87 da Lei nº. 8.666/93, seus parágrafos e incisos. </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PRIMEIRO:</w:t>
      </w:r>
      <w:r w:rsidRPr="001930F1">
        <w:rPr>
          <w:rFonts w:ascii="Arial" w:hAnsi="Arial" w:cs="Arial"/>
          <w:szCs w:val="20"/>
        </w:rPr>
        <w:t xml:space="preserve"> Poderão ainda ser aplicadas as seguintes penalidades, a serem apuradas na forma a saber: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a) multa de 1% (um por cento) do valor do contrato por dia consecutivo que se exceder à data prevista para execução do objeto;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b) multa de até 10% (dez por cento) do valor do contrato quando, por ação, omissão, negligência, imprudência ou imperícia, a Contratada infringir quaisquer das obrigações contratuais;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c) multa de até 10% (dez por cento) do valor do contrato quando a Contratada ceder o contrato, no todo ou em parte, sem a autorização do Contratante, devendo executar o objeto no prazo máximo de 15 (quinze) dias a contar da aplicação da multa, sem prejuízo das demais sanções contratuais;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d) multa de 20% (vinte por cento) do valor contratual quando a Contratada der causa à rescisão contratual;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e)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SEGUNDO:</w:t>
      </w:r>
      <w:r w:rsidRPr="001930F1">
        <w:rPr>
          <w:rFonts w:ascii="Arial" w:hAnsi="Arial" w:cs="Arial"/>
          <w:szCs w:val="20"/>
        </w:rPr>
        <w:t xml:space="preserve"> As multas acima mencionadas serão cobradas de acordo com o previsto na Lei nº 8.666/1993 e demais legislações vigentes aplicáveis ao caso.</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TERCEIRO:</w:t>
      </w:r>
      <w:r w:rsidRPr="001930F1">
        <w:rPr>
          <w:rFonts w:ascii="Arial" w:hAnsi="Arial" w:cs="Arial"/>
          <w:szCs w:val="20"/>
        </w:rPr>
        <w:t xml:space="preserve"> Caso as multas não sejam recolhidas dentro do prazo determinado, as mesmas poderão ser cobradas por via judicial.  </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QUARTO:</w:t>
      </w:r>
      <w:r w:rsidRPr="001930F1">
        <w:rPr>
          <w:rFonts w:ascii="Arial" w:hAnsi="Arial" w:cs="Arial"/>
          <w:szCs w:val="20"/>
        </w:rPr>
        <w:t xml:space="preserve"> As penalidades previstas poderão cumular-se, e o montante da multa não excederá 30% (trinta por cento) do valor contratual. Ainda, não excluem a possibilidade de rescisão administrativa do contrato.</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lang w:val="pt-PT"/>
        </w:rPr>
      </w:pPr>
      <w:r w:rsidRPr="001930F1">
        <w:rPr>
          <w:rFonts w:ascii="Arial" w:hAnsi="Arial" w:cs="Arial"/>
          <w:b/>
          <w:szCs w:val="20"/>
          <w:lang w:val="pt-PT"/>
        </w:rPr>
        <w:t xml:space="preserve">PARÁGRAFO QUINTO - </w:t>
      </w:r>
      <w:r w:rsidRPr="001930F1">
        <w:rPr>
          <w:rFonts w:ascii="Arial" w:hAnsi="Arial" w:cs="Arial"/>
          <w:szCs w:val="20"/>
          <w:lang w:val="pt-PT"/>
        </w:rPr>
        <w:t>Em caso de rescisão contratual por força de descumprimento de qualquer das cláusulas do presente contrato por parte da CONCESSIONÁRIA, a mesma não fará jus a qualquer indenização, sendo ainda que não fará jus à devolução dos valores por ela pagos a título de concessão.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CLAÚSULA DÉCIMA PRIMEIRA</w:t>
      </w:r>
      <w:r w:rsidRPr="001930F1">
        <w:rPr>
          <w:rFonts w:ascii="Arial" w:hAnsi="Arial" w:cs="Arial"/>
          <w:szCs w:val="20"/>
        </w:rPr>
        <w:t xml:space="preserve"> </w:t>
      </w:r>
      <w:r w:rsidRPr="001930F1">
        <w:rPr>
          <w:rFonts w:ascii="Arial" w:hAnsi="Arial" w:cs="Arial"/>
          <w:b/>
          <w:szCs w:val="20"/>
        </w:rPr>
        <w:t>– DAS SANÇÕES ADMINISTRATIVAS</w:t>
      </w:r>
      <w:r w:rsidRPr="001930F1">
        <w:rPr>
          <w:rFonts w:ascii="Arial" w:hAnsi="Arial" w:cs="Arial"/>
          <w:szCs w:val="20"/>
        </w:rPr>
        <w:t xml:space="preserve">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Pela inexecução total ou parcial do contrato, o Concedente poderá, garantida a ampla defesa e o contraditório, aplicar a Concessionária as sanções abaixo relacionadas, previstas na Lei nº 8.666/93:</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 - advertência;</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 - multa equivalente a 02 (dois) Valores de Referência do Município vigentes ao tempo da infração;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III - suspensão temporária de participação em licitação e impedimento de contratar com a Administração, por prazo não superior a 02 (dois) anos,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lastRenderedPageBreak/>
        <w:t>IV - declaração de inidoneidade para licitar ou contratar com a Administração Pública.</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PRIMEIRO:</w:t>
      </w:r>
      <w:r w:rsidRPr="001930F1">
        <w:rPr>
          <w:rFonts w:ascii="Arial" w:hAnsi="Arial" w:cs="Arial"/>
          <w:szCs w:val="20"/>
        </w:rPr>
        <w:t xml:space="preserve"> As penalidades previstas não serão relevadas, salvo quando ficar comprovada a ocorrência de situações que se enquadrem no conceito jurídico de força maior ou caso fortuito.</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SEGUNDO:</w:t>
      </w:r>
      <w:r w:rsidRPr="001930F1">
        <w:rPr>
          <w:rFonts w:ascii="Arial" w:hAnsi="Arial" w:cs="Arial"/>
          <w:szCs w:val="20"/>
        </w:rPr>
        <w:t xml:space="preserve"> Aplicada a penalidade de multa, terá a Concessionária o prazo de 15 (quinze) dias para recolhimento, pena de inscrição em dívida ativa e cobrança judicial.</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t xml:space="preserve">CLÁUSULA DÉCIMA SEGUNDA – PRATICAS DE ANTICORRUPÇÃO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As partes se comprometem a adotar práticas de anticorrupção, observando e fazendo observar, o mais alto padrão de ética, durante todo o processo de execução, evitando práticas corruptas e fraudulentas.</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PRIMEIRO:</w:t>
      </w:r>
      <w:r w:rsidRPr="001930F1">
        <w:rPr>
          <w:rFonts w:ascii="Arial" w:hAnsi="Arial" w:cs="Arial"/>
          <w:szCs w:val="20"/>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D062D8" w:rsidRPr="001930F1" w:rsidRDefault="00D062D8" w:rsidP="00D062D8">
      <w:pPr>
        <w:widowControl w:val="0"/>
        <w:spacing w:after="0" w:line="360" w:lineRule="auto"/>
        <w:contextualSpacing/>
        <w:jc w:val="both"/>
        <w:rPr>
          <w:rFonts w:ascii="Arial" w:hAnsi="Arial" w:cs="Arial"/>
          <w:szCs w:val="20"/>
        </w:rPr>
      </w:pP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b/>
          <w:szCs w:val="20"/>
        </w:rPr>
        <w:t>PARÁGRAFO SEGUNDO:</w:t>
      </w:r>
      <w:r w:rsidRPr="001930F1">
        <w:rPr>
          <w:rFonts w:ascii="Arial" w:hAnsi="Arial" w:cs="Arial"/>
          <w:szCs w:val="20"/>
        </w:rPr>
        <w:t xml:space="preserve"> Para os propósitos desta cláusula, definem-se as seguintes práticas: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I - Prática corrupta: oferecer, dar, receber ou solicitar, direta ou indiretamente, qualquer vantagem com o objetivo de influenciar a ação de servidor público no desempenho de suas atividades;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 - Prática fraudulenta: a falsificação ou omissão de fatos, com o objetivo de influenciar a execução dos recursos;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III - Prática colusiva: esquematizar ou estabelecer um acordo entre dois ou mais licitantes, com ou sem o conhecimento de representantes ou prepostos do órgão licitador, visando estabelecer preços em níveis artificiais e não competitivos;</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IV - Prática coercitiva: causar dano ou ameaçar causar dano, direta ou indiretamente, às pessoas ou sua propriedade, visando influenciar sua participação em um processo licitatório ou afetar a execução de um contrato;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V - Prática obstrutiva: destruir, falsificar, alterar ou ocultar provas em inspeções ou fazer declarações falsas, aos representantes dos órgãos públicos com o objetivo de impedir materialmente a fiscalização da execução do recurso.</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Parágrafo Terceiro: As partes concordam e autorizam a avaliação das despesas efetuadas, mantendo a disposição dos órgãos de controle interno e externo, todos os documentos, contas e registros comprobatórios das despesas efetuadas.</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t xml:space="preserve">CLAÚSULA DÉCIMA TERCEIRA – DA FISCALIZAÇÃO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 xml:space="preserve">Fica expresso que a fiscalização da execução deste contrato será exercida pelo responsável pelo </w:t>
      </w:r>
      <w:r w:rsidRPr="001930F1">
        <w:rPr>
          <w:rFonts w:ascii="Arial" w:hAnsi="Arial" w:cs="Arial"/>
          <w:szCs w:val="20"/>
        </w:rPr>
        <w:lastRenderedPageBreak/>
        <w:t xml:space="preserve">Departamento Municipal de Esportes, o senhor Olacir Ferreira.  </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O Município nos termos do art. 67 da Lei nº 8.666, de 1993, realizará o acompanhamento e fiscalização durante a execução da concessão, anotando em registro próprio todas as ocorrências relacionadas com a execução e comunicando o responsável pela aplicação das sanções o que for necessário à regularização de falhas ou defeitos observados.</w:t>
      </w:r>
    </w:p>
    <w:p w:rsidR="00D062D8" w:rsidRPr="001930F1" w:rsidRDefault="00D062D8" w:rsidP="00D062D8">
      <w:pPr>
        <w:widowControl w:val="0"/>
        <w:spacing w:after="0" w:line="360" w:lineRule="auto"/>
        <w:contextualSpacing/>
        <w:jc w:val="both"/>
        <w:rPr>
          <w:rFonts w:ascii="Arial" w:hAnsi="Arial" w:cs="Arial"/>
          <w:b/>
          <w:szCs w:val="20"/>
        </w:rPr>
      </w:pPr>
    </w:p>
    <w:p w:rsidR="00D062D8" w:rsidRPr="001930F1" w:rsidRDefault="00D062D8" w:rsidP="00D062D8">
      <w:pPr>
        <w:widowControl w:val="0"/>
        <w:spacing w:after="0" w:line="360" w:lineRule="auto"/>
        <w:contextualSpacing/>
        <w:jc w:val="both"/>
        <w:rPr>
          <w:rFonts w:ascii="Arial" w:hAnsi="Arial" w:cs="Arial"/>
          <w:b/>
          <w:szCs w:val="20"/>
        </w:rPr>
      </w:pPr>
      <w:r w:rsidRPr="001930F1">
        <w:rPr>
          <w:rFonts w:ascii="Arial" w:hAnsi="Arial" w:cs="Arial"/>
          <w:b/>
          <w:szCs w:val="20"/>
        </w:rPr>
        <w:t>CLÁUSULA DÉCIMA QUARTA – FORO COMPETENTE</w:t>
      </w:r>
    </w:p>
    <w:p w:rsidR="00D062D8" w:rsidRPr="001930F1"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Fica eleito o Foro da Comarca de Salto do Lontra, Estado do Paraná, como competente para dirimir questões decorrentes deste ajuste, renunciando as partes a qualquer outro, por mais privilegiado que seja.</w:t>
      </w:r>
    </w:p>
    <w:p w:rsidR="00D062D8" w:rsidRDefault="00D062D8" w:rsidP="00D062D8">
      <w:pPr>
        <w:widowControl w:val="0"/>
        <w:spacing w:after="0" w:line="360" w:lineRule="auto"/>
        <w:contextualSpacing/>
        <w:jc w:val="both"/>
        <w:rPr>
          <w:rFonts w:ascii="Arial" w:hAnsi="Arial" w:cs="Arial"/>
          <w:szCs w:val="20"/>
        </w:rPr>
      </w:pPr>
      <w:r w:rsidRPr="001930F1">
        <w:rPr>
          <w:rFonts w:ascii="Arial" w:hAnsi="Arial" w:cs="Arial"/>
          <w:szCs w:val="20"/>
        </w:rPr>
        <w:t>E, assim, por estarem justos e contratados, obrigando-se ao fiel e integral cumprimento do presente contrato, firmam-no em duas (2) vias de igual teor e forma, perante as testemunhas adiante assinadas.</w:t>
      </w:r>
    </w:p>
    <w:p w:rsidR="001930F1" w:rsidRPr="001930F1" w:rsidRDefault="001930F1" w:rsidP="00D062D8">
      <w:pPr>
        <w:widowControl w:val="0"/>
        <w:spacing w:after="0" w:line="360" w:lineRule="auto"/>
        <w:contextualSpacing/>
        <w:jc w:val="both"/>
        <w:rPr>
          <w:rFonts w:ascii="Arial" w:hAnsi="Arial" w:cs="Arial"/>
          <w:szCs w:val="20"/>
        </w:rPr>
      </w:pPr>
    </w:p>
    <w:p w:rsidR="00D062D8" w:rsidRPr="001930F1" w:rsidRDefault="00D062D8" w:rsidP="008D565F">
      <w:pPr>
        <w:widowControl w:val="0"/>
        <w:spacing w:after="0" w:line="360" w:lineRule="auto"/>
        <w:contextualSpacing/>
        <w:jc w:val="right"/>
        <w:rPr>
          <w:rFonts w:ascii="Arial" w:hAnsi="Arial" w:cs="Arial"/>
          <w:szCs w:val="20"/>
        </w:rPr>
      </w:pPr>
      <w:r w:rsidRPr="001930F1">
        <w:rPr>
          <w:rFonts w:ascii="Arial" w:hAnsi="Arial" w:cs="Arial"/>
          <w:szCs w:val="20"/>
        </w:rPr>
        <w:t>Nova Esperan</w:t>
      </w:r>
      <w:r w:rsidR="008D565F" w:rsidRPr="001930F1">
        <w:rPr>
          <w:rFonts w:ascii="Arial" w:hAnsi="Arial" w:cs="Arial"/>
          <w:szCs w:val="20"/>
        </w:rPr>
        <w:t>ça do Sudoeste, Paraná, em 14 de outubro</w:t>
      </w:r>
      <w:r w:rsidRPr="001930F1">
        <w:rPr>
          <w:rFonts w:ascii="Arial" w:hAnsi="Arial" w:cs="Arial"/>
          <w:szCs w:val="20"/>
        </w:rPr>
        <w:t xml:space="preserve"> de 2021</w:t>
      </w: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5292B" w:rsidRPr="001930F1" w:rsidRDefault="00A5292B"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930F1">
        <w:rPr>
          <w:rFonts w:ascii="Arial" w:eastAsia="Times New Roman" w:hAnsi="Arial" w:cs="Arial"/>
          <w:b/>
          <w:szCs w:val="20"/>
          <w:lang w:eastAsia="pt-BR"/>
        </w:rPr>
        <w:t>MUNICÍPIO DE NOVA ESPERANÇA DO SUDOESTE</w:t>
      </w:r>
    </w:p>
    <w:p w:rsidR="00BB558F" w:rsidRPr="001930F1" w:rsidRDefault="008D565F" w:rsidP="00BB558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930F1">
        <w:rPr>
          <w:rFonts w:ascii="Arial" w:eastAsia="Times New Roman" w:hAnsi="Arial" w:cs="Arial"/>
          <w:b/>
          <w:szCs w:val="20"/>
          <w:lang w:eastAsia="pt-BR"/>
        </w:rPr>
        <w:t>CONCEDENTE</w:t>
      </w: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930F1">
        <w:rPr>
          <w:rFonts w:ascii="Arial" w:eastAsia="Times New Roman" w:hAnsi="Arial" w:cs="Arial"/>
          <w:szCs w:val="20"/>
          <w:lang w:eastAsia="pt-BR"/>
        </w:rPr>
        <w:t>JAIME DA SILVA STANG</w:t>
      </w: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930F1">
        <w:rPr>
          <w:rFonts w:ascii="Arial" w:eastAsia="Times New Roman" w:hAnsi="Arial" w:cs="Arial"/>
          <w:i/>
          <w:szCs w:val="20"/>
          <w:lang w:eastAsia="pt-BR"/>
        </w:rPr>
        <w:t xml:space="preserve">Prefeito Municipal </w:t>
      </w: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930F1">
        <w:rPr>
          <w:rFonts w:ascii="Arial" w:eastAsia="Times New Roman" w:hAnsi="Arial" w:cs="Arial"/>
          <w:b/>
          <w:bCs/>
          <w:szCs w:val="20"/>
          <w:lang w:eastAsia="pt-BR"/>
        </w:rPr>
        <w:t>CLAUDECIR ROZENG 72326697987</w:t>
      </w:r>
    </w:p>
    <w:p w:rsidR="00BB558F" w:rsidRPr="001930F1" w:rsidRDefault="008D565F" w:rsidP="00BB558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930F1">
        <w:rPr>
          <w:rFonts w:ascii="Arial" w:eastAsia="Times New Roman" w:hAnsi="Arial" w:cs="Arial"/>
          <w:b/>
          <w:bCs/>
          <w:szCs w:val="20"/>
          <w:lang w:eastAsia="pt-BR"/>
        </w:rPr>
        <w:t>CONCESSIONÁRIA</w:t>
      </w: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930F1">
        <w:rPr>
          <w:rFonts w:ascii="Arial" w:eastAsia="Times New Roman" w:hAnsi="Arial" w:cs="Arial"/>
          <w:i/>
          <w:szCs w:val="20"/>
          <w:lang w:eastAsia="pt-BR"/>
        </w:rPr>
        <w:t>CLAUDECIR ROZENG</w:t>
      </w:r>
    </w:p>
    <w:p w:rsidR="00BB558F" w:rsidRPr="001930F1" w:rsidRDefault="00BB558F" w:rsidP="00BB558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930F1">
        <w:rPr>
          <w:rFonts w:ascii="Arial" w:eastAsia="Times New Roman" w:hAnsi="Arial" w:cs="Arial"/>
          <w:i/>
          <w:szCs w:val="20"/>
          <w:lang w:eastAsia="pt-BR"/>
        </w:rPr>
        <w:t>Administrador</w:t>
      </w: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1B54" w:rsidRPr="001930F1" w:rsidRDefault="008E1B54"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930F1" w:rsidRPr="001930F1" w:rsidRDefault="001930F1"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930F1">
        <w:rPr>
          <w:rFonts w:ascii="Arial" w:eastAsia="Times New Roman" w:hAnsi="Arial" w:cs="Arial"/>
          <w:b/>
          <w:szCs w:val="20"/>
          <w:lang w:eastAsia="pt-BR"/>
        </w:rPr>
        <w:t xml:space="preserve">TESTEMUNHAS: </w:t>
      </w: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930F1">
        <w:rPr>
          <w:rFonts w:ascii="Arial" w:eastAsia="Times New Roman" w:hAnsi="Arial" w:cs="Arial"/>
          <w:szCs w:val="20"/>
          <w:lang w:eastAsia="pt-BR"/>
        </w:rPr>
        <w:t>Nome:</w:t>
      </w:r>
      <w:r w:rsidRPr="001930F1">
        <w:rPr>
          <w:rFonts w:ascii="Arial" w:eastAsia="Times New Roman" w:hAnsi="Arial" w:cs="Arial"/>
          <w:szCs w:val="20"/>
          <w:lang w:eastAsia="pt-BR"/>
        </w:rPr>
        <w:tab/>
      </w:r>
      <w:r w:rsidRPr="001930F1">
        <w:rPr>
          <w:rFonts w:ascii="Arial" w:eastAsia="Times New Roman" w:hAnsi="Arial" w:cs="Arial"/>
          <w:szCs w:val="20"/>
          <w:lang w:eastAsia="pt-BR"/>
        </w:rPr>
        <w:tab/>
      </w:r>
      <w:r w:rsidRPr="001930F1">
        <w:rPr>
          <w:rFonts w:ascii="Arial" w:eastAsia="Times New Roman" w:hAnsi="Arial" w:cs="Arial"/>
          <w:szCs w:val="20"/>
          <w:lang w:eastAsia="pt-BR"/>
        </w:rPr>
        <w:tab/>
        <w:t xml:space="preserve">                 </w:t>
      </w:r>
      <w:r w:rsidRPr="001930F1">
        <w:rPr>
          <w:rFonts w:ascii="Arial" w:eastAsia="Times New Roman" w:hAnsi="Arial" w:cs="Arial"/>
          <w:szCs w:val="20"/>
          <w:lang w:eastAsia="pt-BR"/>
        </w:rPr>
        <w:tab/>
        <w:t xml:space="preserve">  </w:t>
      </w:r>
      <w:r w:rsidR="001930F1">
        <w:rPr>
          <w:rFonts w:ascii="Arial" w:eastAsia="Times New Roman" w:hAnsi="Arial" w:cs="Arial"/>
          <w:szCs w:val="20"/>
          <w:lang w:eastAsia="pt-BR"/>
        </w:rPr>
        <w:t xml:space="preserve">                               </w:t>
      </w:r>
      <w:r w:rsidRPr="001930F1">
        <w:rPr>
          <w:rFonts w:ascii="Arial" w:eastAsia="Times New Roman" w:hAnsi="Arial" w:cs="Arial"/>
          <w:szCs w:val="20"/>
          <w:lang w:eastAsia="pt-BR"/>
        </w:rPr>
        <w:t xml:space="preserve">Nome: </w:t>
      </w:r>
    </w:p>
    <w:p w:rsidR="008D565F" w:rsidRPr="001930F1" w:rsidRDefault="008D565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930F1">
        <w:rPr>
          <w:rFonts w:ascii="Arial" w:eastAsia="Times New Roman" w:hAnsi="Arial" w:cs="Arial"/>
          <w:szCs w:val="20"/>
          <w:lang w:eastAsia="pt-BR"/>
        </w:rPr>
        <w:t>RG nº:</w:t>
      </w:r>
      <w:r w:rsidRPr="001930F1">
        <w:rPr>
          <w:rFonts w:ascii="Arial" w:eastAsia="Times New Roman" w:hAnsi="Arial" w:cs="Arial"/>
          <w:szCs w:val="20"/>
          <w:lang w:eastAsia="pt-BR"/>
        </w:rPr>
        <w:tab/>
      </w:r>
      <w:r w:rsidRPr="001930F1">
        <w:rPr>
          <w:rFonts w:ascii="Arial" w:eastAsia="Times New Roman" w:hAnsi="Arial" w:cs="Arial"/>
          <w:szCs w:val="20"/>
          <w:lang w:eastAsia="pt-BR"/>
        </w:rPr>
        <w:tab/>
      </w:r>
      <w:r w:rsidRPr="001930F1">
        <w:rPr>
          <w:rFonts w:ascii="Arial" w:eastAsia="Times New Roman" w:hAnsi="Arial" w:cs="Arial"/>
          <w:szCs w:val="20"/>
          <w:lang w:eastAsia="pt-BR"/>
        </w:rPr>
        <w:tab/>
      </w:r>
      <w:r w:rsidRPr="001930F1">
        <w:rPr>
          <w:rFonts w:ascii="Arial" w:eastAsia="Times New Roman" w:hAnsi="Arial" w:cs="Arial"/>
          <w:szCs w:val="20"/>
          <w:lang w:eastAsia="pt-BR"/>
        </w:rPr>
        <w:tab/>
        <w:t xml:space="preserve">                  </w:t>
      </w:r>
      <w:r w:rsidRPr="001930F1">
        <w:rPr>
          <w:rFonts w:ascii="Arial" w:eastAsia="Times New Roman" w:hAnsi="Arial" w:cs="Arial"/>
          <w:szCs w:val="20"/>
          <w:lang w:eastAsia="pt-BR"/>
        </w:rPr>
        <w:tab/>
        <w:t xml:space="preserve">  </w:t>
      </w:r>
      <w:r w:rsidR="001930F1">
        <w:rPr>
          <w:rFonts w:ascii="Arial" w:eastAsia="Times New Roman" w:hAnsi="Arial" w:cs="Arial"/>
          <w:szCs w:val="20"/>
          <w:lang w:eastAsia="pt-BR"/>
        </w:rPr>
        <w:t xml:space="preserve">                  </w:t>
      </w:r>
      <w:r w:rsidRPr="001930F1">
        <w:rPr>
          <w:rFonts w:ascii="Arial" w:eastAsia="Times New Roman" w:hAnsi="Arial" w:cs="Arial"/>
          <w:szCs w:val="20"/>
          <w:lang w:eastAsia="pt-BR"/>
        </w:rPr>
        <w:t xml:space="preserve">RG nº: </w:t>
      </w:r>
    </w:p>
    <w:p w:rsidR="008D565F" w:rsidRPr="001930F1" w:rsidRDefault="008D565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B558F" w:rsidRPr="001930F1" w:rsidRDefault="00BB558F" w:rsidP="00BB558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930F1">
        <w:rPr>
          <w:rFonts w:ascii="Arial" w:eastAsia="Times New Roman" w:hAnsi="Arial" w:cs="Arial"/>
          <w:szCs w:val="20"/>
          <w:lang w:eastAsia="pt-BR"/>
        </w:rPr>
        <w:t>Ass:_____</w:t>
      </w:r>
      <w:r w:rsidR="008D565F" w:rsidRPr="001930F1">
        <w:rPr>
          <w:rFonts w:ascii="Arial" w:eastAsia="Times New Roman" w:hAnsi="Arial" w:cs="Arial"/>
          <w:szCs w:val="20"/>
          <w:lang w:eastAsia="pt-BR"/>
        </w:rPr>
        <w:t>______________________</w:t>
      </w:r>
      <w:r w:rsidRPr="001930F1">
        <w:rPr>
          <w:rFonts w:ascii="Arial" w:eastAsia="Times New Roman" w:hAnsi="Arial" w:cs="Arial"/>
          <w:szCs w:val="20"/>
          <w:lang w:eastAsia="pt-BR"/>
        </w:rPr>
        <w:t xml:space="preserve">   </w:t>
      </w:r>
      <w:r w:rsidRPr="001930F1">
        <w:rPr>
          <w:rFonts w:ascii="Arial" w:eastAsia="Times New Roman" w:hAnsi="Arial" w:cs="Arial"/>
          <w:szCs w:val="20"/>
          <w:lang w:eastAsia="pt-BR"/>
        </w:rPr>
        <w:tab/>
        <w:t xml:space="preserve">  </w:t>
      </w:r>
      <w:r w:rsidR="001930F1">
        <w:rPr>
          <w:rFonts w:ascii="Arial" w:eastAsia="Times New Roman" w:hAnsi="Arial" w:cs="Arial"/>
          <w:szCs w:val="20"/>
          <w:lang w:eastAsia="pt-BR"/>
        </w:rPr>
        <w:t xml:space="preserve">                   </w:t>
      </w:r>
      <w:r w:rsidRPr="001930F1">
        <w:rPr>
          <w:rFonts w:ascii="Arial" w:eastAsia="Times New Roman" w:hAnsi="Arial" w:cs="Arial"/>
          <w:szCs w:val="20"/>
          <w:lang w:eastAsia="pt-BR"/>
        </w:rPr>
        <w:t>Ass:___________________________</w:t>
      </w:r>
    </w:p>
    <w:p w:rsidR="00BB558F" w:rsidRPr="001930F1" w:rsidRDefault="00BB558F" w:rsidP="00BB558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0A06" w:rsidRPr="001930F1" w:rsidRDefault="00EC0A06">
      <w:pPr>
        <w:rPr>
          <w:rFonts w:ascii="Arial" w:hAnsi="Arial" w:cs="Arial"/>
          <w:szCs w:val="20"/>
        </w:rPr>
      </w:pPr>
    </w:p>
    <w:sectPr w:rsidR="00EC0A06" w:rsidRPr="001930F1" w:rsidSect="001930F1">
      <w:footerReference w:type="even" r:id="rId6"/>
      <w:footerReference w:type="default" r:id="rId7"/>
      <w:pgSz w:w="11907" w:h="16840" w:code="9"/>
      <w:pgMar w:top="2127" w:right="1134" w:bottom="1134" w:left="1134" w:header="720" w:footer="70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74" w:rsidRDefault="008E1B54">
      <w:pPr>
        <w:spacing w:after="0" w:line="240" w:lineRule="auto"/>
      </w:pPr>
      <w:r>
        <w:separator/>
      </w:r>
    </w:p>
  </w:endnote>
  <w:endnote w:type="continuationSeparator" w:id="0">
    <w:p w:rsidR="00D84574" w:rsidRDefault="008E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84574">
    <w:pPr>
      <w:pStyle w:val="Rodap"/>
      <w:framePr w:wrap="around" w:vAnchor="text" w:hAnchor="margin" w:xAlign="right" w:y="1"/>
      <w:rPr>
        <w:rStyle w:val="Nmerodepgina"/>
      </w:rPr>
    </w:pPr>
    <w:r>
      <w:rPr>
        <w:rStyle w:val="Nmerodepgina"/>
      </w:rPr>
      <w:fldChar w:fldCharType="begin"/>
    </w:r>
    <w:r w:rsidR="00A5292B">
      <w:rPr>
        <w:rStyle w:val="Nmerodepgina"/>
      </w:rPr>
      <w:instrText xml:space="preserve">PAGE  </w:instrText>
    </w:r>
    <w:r>
      <w:rPr>
        <w:rStyle w:val="Nmerodepgina"/>
      </w:rPr>
      <w:fldChar w:fldCharType="end"/>
    </w:r>
  </w:p>
  <w:p w:rsidR="00CA7CE5" w:rsidRDefault="001930F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D84574">
    <w:pPr>
      <w:pStyle w:val="Rodap"/>
      <w:framePr w:wrap="around" w:vAnchor="text" w:hAnchor="margin" w:xAlign="right" w:y="1"/>
      <w:rPr>
        <w:rStyle w:val="Nmerodepgina"/>
      </w:rPr>
    </w:pPr>
    <w:r>
      <w:rPr>
        <w:rStyle w:val="Nmerodepgina"/>
      </w:rPr>
      <w:fldChar w:fldCharType="begin"/>
    </w:r>
    <w:r w:rsidR="00A5292B">
      <w:rPr>
        <w:rStyle w:val="Nmerodepgina"/>
      </w:rPr>
      <w:instrText xml:space="preserve">PAGE  </w:instrText>
    </w:r>
    <w:r>
      <w:rPr>
        <w:rStyle w:val="Nmerodepgina"/>
      </w:rPr>
      <w:fldChar w:fldCharType="separate"/>
    </w:r>
    <w:r w:rsidR="001930F1">
      <w:rPr>
        <w:rStyle w:val="Nmerodepgina"/>
        <w:noProof/>
      </w:rPr>
      <w:t>2</w:t>
    </w:r>
    <w:r>
      <w:rPr>
        <w:rStyle w:val="Nmerodepgina"/>
      </w:rPr>
      <w:fldChar w:fldCharType="end"/>
    </w:r>
  </w:p>
  <w:p w:rsidR="00CA7CE5" w:rsidRDefault="001930F1">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74" w:rsidRDefault="008E1B54">
      <w:pPr>
        <w:spacing w:after="0" w:line="240" w:lineRule="auto"/>
      </w:pPr>
      <w:r>
        <w:separator/>
      </w:r>
    </w:p>
  </w:footnote>
  <w:footnote w:type="continuationSeparator" w:id="0">
    <w:p w:rsidR="00D84574" w:rsidRDefault="008E1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558F"/>
    <w:rsid w:val="000F5B90"/>
    <w:rsid w:val="00163141"/>
    <w:rsid w:val="001930F1"/>
    <w:rsid w:val="002D5EE3"/>
    <w:rsid w:val="00326402"/>
    <w:rsid w:val="003A3B33"/>
    <w:rsid w:val="00437FC3"/>
    <w:rsid w:val="00660191"/>
    <w:rsid w:val="008D565F"/>
    <w:rsid w:val="008E1B54"/>
    <w:rsid w:val="00A5292B"/>
    <w:rsid w:val="00BB558F"/>
    <w:rsid w:val="00D062D8"/>
    <w:rsid w:val="00D84574"/>
    <w:rsid w:val="00E4619D"/>
    <w:rsid w:val="00EC0A06"/>
    <w:rsid w:val="00F46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0562"/>
  <w15:docId w15:val="{E9941A65-3A28-43CC-90D1-DE1FB75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74"/>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B558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B558F"/>
    <w:rPr>
      <w:rFonts w:ascii="Times New Roman" w:eastAsia="Times New Roman" w:hAnsi="Times New Roman" w:cs="Times New Roman"/>
      <w:sz w:val="20"/>
      <w:szCs w:val="20"/>
      <w:lang w:eastAsia="pt-BR"/>
    </w:rPr>
  </w:style>
  <w:style w:type="character" w:styleId="Nmerodepgina">
    <w:name w:val="page number"/>
    <w:basedOn w:val="Fontepargpadro"/>
    <w:semiHidden/>
    <w:rsid w:val="00BB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3788</Words>
  <Characters>20457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14</cp:revision>
  <dcterms:created xsi:type="dcterms:W3CDTF">2021-10-14T12:29:00Z</dcterms:created>
  <dcterms:modified xsi:type="dcterms:W3CDTF">2021-10-15T12:52:00Z</dcterms:modified>
</cp:coreProperties>
</file>